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 w:line="276" w:lineRule="auto"/>
        <w:jc w:val="center"/>
      </w:pPr>
      <w:r>
        <w:rPr>
          <w:rFonts w:ascii="Times New Roman" w:hAnsi="Times New Roman"/>
          <w:sz w:val="23"/>
          <w:b/>
        </w:rPr>
        <w:t xml:space="preserve">[TAŞINMAZIN BULUNDUĞU YER] NÖBETÇİ SULH HUKUK MAHKEMESİ'NE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DAVACI : </w:t>
      </w:r>
      <w:r>
        <w:rPr>
          <w:rFonts w:ascii="Times New Roman" w:hAnsi="Times New Roman"/>
          <w:sz w:val="23"/>
        </w:rPr>
        <w:t xml:space="preserve">[Ad Soyad, T.C. Kimlik No, adres]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VEKİLİ : </w:t>
      </w:r>
      <w:r>
        <w:rPr>
          <w:rFonts w:ascii="Times New Roman" w:hAnsi="Times New Roman"/>
          <w:sz w:val="23"/>
        </w:rPr>
        <w:t xml:space="preserve">Av. Sümeyye Yüce (Bursa Barosu)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DAVALILAR : </w:t>
      </w:r>
      <w:r>
        <w:rPr>
          <w:rFonts w:ascii="Times New Roman" w:hAnsi="Times New Roman"/>
          <w:sz w:val="23"/>
        </w:rPr>
        <w:t xml:space="preserve">[Diğer tüm paydaşlar/mirasçılar – Ad Soyad ve adresleri. Taşınmazdaki TÜM ortaklar davalı gösterilmelidir.]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KONU : </w:t>
      </w:r>
      <w:r>
        <w:rPr>
          <w:rFonts w:ascii="Times New Roman" w:hAnsi="Times New Roman"/>
          <w:sz w:val="23"/>
        </w:rPr>
        <w:t xml:space="preserve">[İl/ilçe], [ada/parsel] sayılı taşınmazdaki ortaklığın (paydaşlığın) satış suretiyle giderilmesi talebimizden ibarettir.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ARABULUCULUK : </w:t>
      </w:r>
      <w:r>
        <w:rPr>
          <w:rFonts w:ascii="Times New Roman" w:hAnsi="Times New Roman"/>
          <w:sz w:val="23"/>
        </w:rPr>
        <w:t xml:space="preserve">[Tarih] tarihli, anlaşma sağlanamadığına dair arabuluculuk son tutanağı dilekçe ekindedir.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AÇIKLAMALAR :</w:t>
      </w:r>
    </w:p>
    <w:p>
      <w:pPr>
        <w:spacing w:after="60" w:line="276" w:lineRule="auto"/>
        <w:ind w:left="360" w:hanging="360"/>
        <w:jc w:val="left"/>
      </w:pPr>
      <w:r>
        <w:rPr>
          <w:rFonts w:ascii="Times New Roman" w:hAnsi="Times New Roman"/>
          <w:sz w:val="23"/>
          <w:b/>
        </w:rPr>
        <w:t xml:space="preserve">1. </w:t>
      </w:r>
      <w:r>
        <w:rPr>
          <w:rFonts w:ascii="Times New Roman" w:hAnsi="Times New Roman"/>
          <w:sz w:val="23"/>
        </w:rPr>
        <w:t xml:space="preserve">[İl/ilçe] [mahalle/köy], [ada] ada [parsel] parsel sayılı taşınmaz; müvekkil ile davalılar arasında [miras yoluyla / satın alma yoluyla] ortak (elbirliği ya da paylı mülkiyet) hâlinde bulunmaktadır.</w:t>
      </w:r>
    </w:p>
    <w:p>
      <w:pPr>
        <w:spacing w:after="60" w:line="276" w:lineRule="auto"/>
        <w:ind w:left="360" w:hanging="360"/>
        <w:jc w:val="left"/>
      </w:pPr>
      <w:r>
        <w:rPr>
          <w:rFonts w:ascii="Times New Roman" w:hAnsi="Times New Roman"/>
          <w:sz w:val="23"/>
          <w:b/>
        </w:rPr>
        <w:t xml:space="preserve">2. </w:t>
      </w:r>
      <w:r>
        <w:rPr>
          <w:rFonts w:ascii="Times New Roman" w:hAnsi="Times New Roman"/>
          <w:sz w:val="23"/>
        </w:rPr>
        <w:t xml:space="preserve">Taraflar, taşınmazın kullanımı ve satışı konusunda anlaşamamıştır; rızai (anlaşmalı) paylaşım ya da satış mümkün olmamıştır.</w:t>
      </w:r>
    </w:p>
    <w:p>
      <w:pPr>
        <w:spacing w:after="60" w:line="276" w:lineRule="auto"/>
        <w:ind w:left="360" w:hanging="360"/>
        <w:jc w:val="left"/>
      </w:pPr>
      <w:r>
        <w:rPr>
          <w:rFonts w:ascii="Times New Roman" w:hAnsi="Times New Roman"/>
          <w:sz w:val="23"/>
          <w:b/>
        </w:rPr>
        <w:t xml:space="preserve">3. </w:t>
      </w:r>
      <w:r>
        <w:rPr>
          <w:rFonts w:ascii="Times New Roman" w:hAnsi="Times New Roman"/>
          <w:sz w:val="23"/>
        </w:rPr>
        <w:t xml:space="preserve">Taşınmaz, niteliği gereği aynen taksim edilemez; bölünmesi önemli ölçüde değer kaybına yol açacaktır (TMK m.699).</w:t>
      </w:r>
    </w:p>
    <w:p>
      <w:pPr>
        <w:spacing w:after="60" w:line="276" w:lineRule="auto"/>
        <w:ind w:left="360" w:hanging="360"/>
        <w:jc w:val="left"/>
      </w:pPr>
      <w:r>
        <w:rPr>
          <w:rFonts w:ascii="Times New Roman" w:hAnsi="Times New Roman"/>
          <w:sz w:val="23"/>
          <w:b/>
        </w:rPr>
        <w:t xml:space="preserve">4. </w:t>
      </w:r>
      <w:r>
        <w:rPr>
          <w:rFonts w:ascii="Times New Roman" w:hAnsi="Times New Roman"/>
          <w:sz w:val="23"/>
        </w:rPr>
        <w:t xml:space="preserve">Bu nedenlerle taşınmazdaki ortaklığın, açık artırma (satış) suretiyle giderilmesi ve elde edilecek bedelin paylar oranında dağıtılması zorunlu hâle gelmiştir.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HUKUKİ NEDENLER : </w:t>
      </w:r>
      <w:r>
        <w:rPr>
          <w:rFonts w:ascii="Times New Roman" w:hAnsi="Times New Roman"/>
          <w:sz w:val="23"/>
        </w:rPr>
        <w:t xml:space="preserve">TMK m.642, m.698-699, HMK ve ilgili mevzuat; 6325 sayılı Kanun (dava şartı arabuluculuk).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DELİLLER : </w:t>
      </w:r>
      <w:r>
        <w:rPr>
          <w:rFonts w:ascii="Times New Roman" w:hAnsi="Times New Roman"/>
          <w:sz w:val="23"/>
        </w:rPr>
        <w:t xml:space="preserve">Tapu kayıtları, veraset ilamı/mirasçılık belgesi, arabuluculuk son tutanağı, keşif, bilirkişi incelemesi, tanık ve her türlü yasal delil.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SONUÇ VE İSTEM : </w:t>
      </w:r>
      <w:r>
        <w:rPr>
          <w:rFonts w:ascii="Times New Roman" w:hAnsi="Times New Roman"/>
          <w:sz w:val="23"/>
        </w:rPr>
        <w:t xml:space="preserve">Yukarıda açıklanan nedenlerle; [il/ilçe] [ada/parsel] sayılı taşınmazdaki ortaklığın SATIŞ SURETİYLE giderilmesine, satış bedelinin paydaşlara payları oranında dağıtılmasına, yargılama giderleri ile vekâlet ücretinin davalılara yükletilmesine karar verilmesini vekâleten arz ve talep ederiz. [Tarih]</w:t>
      </w:r>
    </w:p>
    <w:p>
      <w:pPr>
        <w:spacing w:after="0" w:line="276" w:lineRule="auto"/>
        <w:jc w:val="right"/>
      </w:pPr>
      <w:r>
        <w:rPr>
          <w:rFonts w:ascii="Times New Roman" w:hAnsi="Times New Roman"/>
          <w:sz w:val="23"/>
        </w:rPr>
        <w:t xml:space="preserve">Davacı Vekili</w:t>
      </w:r>
      <w:br/>
      <w:r>
        <w:rPr>
          <w:rFonts w:ascii="Times New Roman" w:hAnsi="Times New Roman"/>
          <w:sz w:val="23"/>
          <w:b/>
        </w:rPr>
        <w:t xml:space="preserve">Av. Sümeyye Yüce</w:t>
      </w:r>
    </w:p>
    <w:p>
      <w:pPr>
        <w:spacing w:after="0" w:line="276" w:lineRule="auto"/>
        <w:jc w:val="left"/>
      </w:pPr>
      <w:r>
        <w:rPr>
          <w:rFonts w:ascii="Times New Roman" w:hAnsi="Times New Roman"/>
          <w:sz w:val="17"/>
          <w:color w:val="808a96"/>
        </w:rPr>
        <w:t xml:space="preserve">Bu örnek bilgilendirme amaçlıdır; her dava somut olaya göre değişir. Hazırlık için bir gayrimenkul/miras avukatına danışınız.  •  sumeyyeyuce.av.tr</w:t>
      </w:r>
    </w:p>
    <w:sectPr>
      <w:pgSz w:w="11906" w:h="16838"/>
      <w:pgMar w:top="1418" w:right="1418" w:bottom="1418" w:left="1418" w:header="708" w:footer="708" w:gutter="0"/>
    </w:sectPr>
  </w:body>
</w:document>
</file>